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DD" w:rsidRDefault="0046119A" w:rsidP="00F81D28">
      <w:r>
        <w:rPr>
          <w:noProof/>
        </w:rPr>
        <w:pict>
          <v:shapetype id="_x0000_t202" coordsize="21600,21600" o:spt="202" path="m,l,21600r21600,l21600,xe">
            <v:stroke joinstyle="miter"/>
            <v:path gradientshapeok="t" o:connecttype="rect"/>
          </v:shapetype>
          <v:shape id="_x0000_s1026" type="#_x0000_t202" style="position:absolute;margin-left:126pt;margin-top:-22.8pt;width:215.45pt;height:109.95pt;z-index:251656704;mso-wrap-style:none" stroked="f">
            <v:textbox style="mso-next-textbox:#_x0000_s1026;mso-fit-shape-to-text:t">
              <w:txbxContent>
                <w:p w:rsidR="00F81D28" w:rsidRDefault="00F00FA5" w:rsidP="006C4B37">
                  <w:pPr>
                    <w:jc w:val="center"/>
                  </w:pPr>
                  <w:r>
                    <w:rPr>
                      <w:noProof/>
                    </w:rPr>
                    <w:drawing>
                      <wp:inline distT="0" distB="0" distL="0" distR="0">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7"/>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w:r>
      <w:r>
        <w:rPr>
          <w:noProof/>
        </w:rPr>
        <w:pict>
          <v:shape id="_x0000_s1028" type="#_x0000_t202" style="position:absolute;margin-left:351pt;margin-top:-4.8pt;width:2in;height:81pt;z-index:251658752" stroked="f">
            <v:textbox>
              <w:txbxContent>
                <w:p w:rsidR="008E10DD" w:rsidRDefault="008E10DD" w:rsidP="008E10DD">
                  <w:pPr>
                    <w:jc w:val="right"/>
                    <w:rPr>
                      <w:b/>
                      <w:sz w:val="20"/>
                      <w:szCs w:val="20"/>
                    </w:rPr>
                  </w:pPr>
                  <w:r>
                    <w:rPr>
                      <w:b/>
                      <w:sz w:val="20"/>
                      <w:szCs w:val="20"/>
                    </w:rPr>
                    <w:t>Government Affairs Office</w:t>
                  </w:r>
                </w:p>
                <w:p w:rsidR="008E10DD" w:rsidRDefault="00D266E1" w:rsidP="008E10DD">
                  <w:pPr>
                    <w:jc w:val="right"/>
                    <w:rPr>
                      <w:sz w:val="20"/>
                      <w:szCs w:val="20"/>
                    </w:rPr>
                  </w:pPr>
                  <w:r>
                    <w:rPr>
                      <w:sz w:val="20"/>
                      <w:szCs w:val="20"/>
                    </w:rPr>
                    <w:t>1025 Vermont Avenue</w:t>
                  </w:r>
                </w:p>
                <w:p w:rsidR="008E10DD" w:rsidRDefault="00D266E1" w:rsidP="008E10DD">
                  <w:pPr>
                    <w:jc w:val="right"/>
                    <w:rPr>
                      <w:sz w:val="20"/>
                      <w:szCs w:val="20"/>
                    </w:rPr>
                  </w:pPr>
                  <w:r>
                    <w:rPr>
                      <w:sz w:val="20"/>
                      <w:szCs w:val="20"/>
                    </w:rPr>
                    <w:t>Suite 1100</w:t>
                  </w:r>
                </w:p>
                <w:p w:rsidR="008E10DD" w:rsidRDefault="008E10DD" w:rsidP="008E10DD">
                  <w:pPr>
                    <w:jc w:val="right"/>
                    <w:rPr>
                      <w:sz w:val="20"/>
                      <w:szCs w:val="20"/>
                    </w:rPr>
                  </w:pP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20005</w:t>
                      </w:r>
                    </w:smartTag>
                  </w:smartTag>
                </w:p>
                <w:p w:rsidR="008E10DD" w:rsidRDefault="008E10DD" w:rsidP="008E10DD">
                  <w:pPr>
                    <w:jc w:val="right"/>
                    <w:rPr>
                      <w:sz w:val="20"/>
                      <w:szCs w:val="20"/>
                    </w:rPr>
                  </w:pPr>
                  <w:r>
                    <w:rPr>
                      <w:sz w:val="20"/>
                      <w:szCs w:val="20"/>
                    </w:rPr>
                    <w:t>202-639-0550</w:t>
                  </w:r>
                </w:p>
                <w:p w:rsidR="008E10DD" w:rsidRPr="008E10DD" w:rsidRDefault="001F7077" w:rsidP="008E10DD">
                  <w:pPr>
                    <w:jc w:val="right"/>
                    <w:rPr>
                      <w:sz w:val="20"/>
                      <w:szCs w:val="20"/>
                    </w:rPr>
                  </w:pPr>
                  <w:r>
                    <w:rPr>
                      <w:sz w:val="20"/>
                      <w:szCs w:val="20"/>
                    </w:rPr>
                    <w:t>Fax</w:t>
                  </w:r>
                  <w:r w:rsidR="008E10DD">
                    <w:rPr>
                      <w:sz w:val="20"/>
                      <w:szCs w:val="20"/>
                    </w:rPr>
                    <w:t xml:space="preserve">: 202-639-0559 </w:t>
                  </w:r>
                </w:p>
              </w:txbxContent>
            </v:textbox>
          </v:shape>
        </w:pict>
      </w:r>
      <w:r>
        <w:rPr>
          <w:noProof/>
        </w:rPr>
        <w:pict>
          <v:shape id="_x0000_s1027" type="#_x0000_t202" style="position:absolute;margin-left:-27pt;margin-top:-4.8pt;width:162pt;height:90.05pt;z-index:251657728" stroked="f">
            <v:textbox style="mso-next-textbox:#_x0000_s1027">
              <w:txbxContent>
                <w:p w:rsidR="00F81D28" w:rsidRDefault="008A303D">
                  <w:pPr>
                    <w:rPr>
                      <w:b/>
                      <w:sz w:val="20"/>
                      <w:szCs w:val="20"/>
                    </w:rPr>
                  </w:pPr>
                  <w:r>
                    <w:rPr>
                      <w:b/>
                      <w:sz w:val="20"/>
                      <w:szCs w:val="20"/>
                    </w:rPr>
                    <w:t>Headquarters</w:t>
                  </w:r>
                </w:p>
                <w:p w:rsidR="00300FC4" w:rsidRDefault="003D5AE1">
                  <w:pPr>
                    <w:rPr>
                      <w:sz w:val="20"/>
                      <w:szCs w:val="20"/>
                    </w:rPr>
                  </w:pPr>
                  <w:r w:rsidRPr="003D5AE1">
                    <w:rPr>
                      <w:sz w:val="20"/>
                      <w:szCs w:val="20"/>
                    </w:rPr>
                    <w:t>4501 College Blvd, #225</w:t>
                  </w:r>
                  <w:r w:rsidRPr="003D5AE1">
                    <w:rPr>
                      <w:sz w:val="20"/>
                      <w:szCs w:val="20"/>
                    </w:rPr>
                    <w:br/>
                    <w:t>Leawood, KS 66211-1921</w:t>
                  </w:r>
                </w:p>
                <w:p w:rsidR="008A303D" w:rsidRDefault="008A303D">
                  <w:pPr>
                    <w:rPr>
                      <w:sz w:val="20"/>
                      <w:szCs w:val="20"/>
                    </w:rPr>
                  </w:pPr>
                  <w:r>
                    <w:rPr>
                      <w:sz w:val="20"/>
                      <w:szCs w:val="20"/>
                    </w:rPr>
                    <w:t>816-756-3140</w:t>
                  </w:r>
                </w:p>
                <w:p w:rsidR="008A303D" w:rsidRDefault="001F7077">
                  <w:pPr>
                    <w:rPr>
                      <w:sz w:val="20"/>
                      <w:szCs w:val="20"/>
                    </w:rPr>
                  </w:pPr>
                  <w:r>
                    <w:rPr>
                      <w:sz w:val="20"/>
                      <w:szCs w:val="20"/>
                    </w:rPr>
                    <w:t>Fax</w:t>
                  </w:r>
                  <w:r w:rsidR="008A303D">
                    <w:rPr>
                      <w:sz w:val="20"/>
                      <w:szCs w:val="20"/>
                    </w:rPr>
                    <w:t>: 816-756-3144</w:t>
                  </w:r>
                </w:p>
                <w:p w:rsidR="008A303D" w:rsidRPr="008A303D" w:rsidRDefault="008A303D">
                  <w:pPr>
                    <w:rPr>
                      <w:sz w:val="20"/>
                      <w:szCs w:val="20"/>
                    </w:rPr>
                  </w:pPr>
                </w:p>
              </w:txbxContent>
            </v:textbox>
          </v:shape>
        </w:pict>
      </w:r>
    </w:p>
    <w:p w:rsidR="008E10DD" w:rsidRPr="008E10DD" w:rsidRDefault="008E10DD" w:rsidP="008E10DD"/>
    <w:p w:rsidR="008E10DD" w:rsidRPr="008E10DD" w:rsidRDefault="008E10DD" w:rsidP="008E10DD"/>
    <w:p w:rsidR="008E10DD" w:rsidRPr="008E10DD" w:rsidRDefault="008E10DD" w:rsidP="008E10DD"/>
    <w:p w:rsidR="008E10DD" w:rsidRPr="008E10DD" w:rsidRDefault="008E10DD" w:rsidP="008E10DD"/>
    <w:p w:rsidR="00561E3F" w:rsidRDefault="00561E3F" w:rsidP="008E10DD"/>
    <w:p w:rsidR="00F00FA5" w:rsidRDefault="009D0C93" w:rsidP="00F00FA5">
      <w:r>
        <w:t>January 4, 2016</w:t>
      </w:r>
    </w:p>
    <w:p w:rsidR="009D0C93" w:rsidRDefault="009D0C93" w:rsidP="00F00FA5"/>
    <w:p w:rsidR="009D0C93" w:rsidRDefault="009D0C93" w:rsidP="00F00FA5"/>
    <w:p w:rsidR="009D0C93" w:rsidRDefault="009D0C93" w:rsidP="00F00FA5"/>
    <w:p w:rsidR="00F00FA5" w:rsidRPr="00CE0BFC" w:rsidRDefault="001843DE" w:rsidP="00F00FA5">
      <w:r>
        <w:t>Andy Slavitt</w:t>
      </w:r>
      <w:r w:rsidR="00F00FA5" w:rsidRPr="00CE0BFC">
        <w:t xml:space="preserve"> </w:t>
      </w:r>
    </w:p>
    <w:p w:rsidR="00F00FA5" w:rsidRPr="00CE0BFC" w:rsidRDefault="001843DE" w:rsidP="00F00FA5">
      <w:r>
        <w:t xml:space="preserve">Acting </w:t>
      </w:r>
      <w:r w:rsidR="00F00FA5" w:rsidRPr="00CE0BFC">
        <w:t xml:space="preserve">Administrator </w:t>
      </w:r>
    </w:p>
    <w:p w:rsidR="00F00FA5" w:rsidRPr="00CE0BFC" w:rsidRDefault="00F00FA5" w:rsidP="00F00FA5">
      <w:r w:rsidRPr="00CE0BFC">
        <w:t xml:space="preserve">Centers for Medicare and Medicaid Services </w:t>
      </w:r>
    </w:p>
    <w:p w:rsidR="00F00FA5" w:rsidRPr="00CE0BFC" w:rsidRDefault="00F00FA5" w:rsidP="00F00FA5">
      <w:r w:rsidRPr="00CE0BFC">
        <w:t xml:space="preserve">Hubert H. Humphrey Building </w:t>
      </w:r>
    </w:p>
    <w:p w:rsidR="00F00FA5" w:rsidRPr="00CE0BFC" w:rsidRDefault="00F00FA5" w:rsidP="00F00FA5">
      <w:r w:rsidRPr="00CE0BFC">
        <w:t>200 Independence Avenue, SW, Room 445</w:t>
      </w:r>
      <w:r w:rsidRPr="00CE0BFC">
        <w:rPr>
          <w:rFonts w:ascii="Cambria Math" w:hAnsi="Cambria Math" w:cs="Cambria Math"/>
        </w:rPr>
        <w:t>‐</w:t>
      </w:r>
      <w:r w:rsidRPr="00CE0BFC">
        <w:t xml:space="preserve">G </w:t>
      </w:r>
    </w:p>
    <w:p w:rsidR="00F00FA5" w:rsidRPr="00CE0BFC" w:rsidRDefault="00F00FA5" w:rsidP="00F00FA5">
      <w:r w:rsidRPr="00CE0BFC">
        <w:t>Washington, DC 20201</w:t>
      </w:r>
    </w:p>
    <w:p w:rsidR="00F00FA5" w:rsidRDefault="00F00FA5" w:rsidP="00F00FA5"/>
    <w:p w:rsidR="00F00FA5" w:rsidRPr="00471564" w:rsidRDefault="001843DE" w:rsidP="001843DE">
      <w:pPr>
        <w:rPr>
          <w:b/>
          <w:bCs/>
          <w:iCs/>
        </w:rPr>
      </w:pPr>
      <w:r>
        <w:rPr>
          <w:b/>
        </w:rPr>
        <w:t>RE</w:t>
      </w:r>
      <w:r w:rsidR="00F00FA5" w:rsidRPr="00471564">
        <w:rPr>
          <w:b/>
        </w:rPr>
        <w:t>:</w:t>
      </w:r>
      <w:r>
        <w:rPr>
          <w:b/>
        </w:rPr>
        <w:t xml:space="preserve"> </w:t>
      </w:r>
      <w:r w:rsidR="007F4C8D">
        <w:t>RIN 0938-A</w:t>
      </w:r>
      <w:r w:rsidR="004628BB">
        <w:t>Q54</w:t>
      </w:r>
      <w:r w:rsidR="007F4C8D">
        <w:t xml:space="preserve"> - </w:t>
      </w:r>
      <w:r w:rsidR="004628BB">
        <w:t>Medicaid Program; Methods for Assuring Access to Covered Medicaid Services</w:t>
      </w:r>
    </w:p>
    <w:p w:rsidR="00F00FA5" w:rsidRDefault="00F00FA5" w:rsidP="00F00FA5">
      <w:pPr>
        <w:spacing w:line="276" w:lineRule="auto"/>
        <w:rPr>
          <w:bCs/>
        </w:rPr>
      </w:pPr>
    </w:p>
    <w:p w:rsidR="00F00FA5" w:rsidRDefault="00F00FA5" w:rsidP="00A27FF9">
      <w:pPr>
        <w:spacing w:line="360" w:lineRule="auto"/>
        <w:rPr>
          <w:bCs/>
        </w:rPr>
      </w:pPr>
      <w:r>
        <w:rPr>
          <w:bCs/>
        </w:rPr>
        <w:t xml:space="preserve">Dear Administrator </w:t>
      </w:r>
      <w:r w:rsidR="001843DE">
        <w:rPr>
          <w:bCs/>
        </w:rPr>
        <w:t>Slavitt</w:t>
      </w:r>
      <w:r>
        <w:rPr>
          <w:bCs/>
        </w:rPr>
        <w:t>,</w:t>
      </w:r>
    </w:p>
    <w:p w:rsidR="00F00FA5" w:rsidRDefault="00F00FA5" w:rsidP="00A27FF9">
      <w:pPr>
        <w:spacing w:line="360" w:lineRule="auto"/>
        <w:rPr>
          <w:bCs/>
        </w:rPr>
      </w:pPr>
    </w:p>
    <w:p w:rsidR="00FD2F5A" w:rsidRPr="00CE0BFC" w:rsidRDefault="00F00FA5" w:rsidP="00621B87">
      <w:pPr>
        <w:spacing w:after="120" w:line="360" w:lineRule="auto"/>
        <w:ind w:firstLine="720"/>
        <w:rPr>
          <w:bCs/>
        </w:rPr>
      </w:pPr>
      <w:r w:rsidRPr="00CE0BFC">
        <w:rPr>
          <w:bCs/>
        </w:rPr>
        <w:t xml:space="preserve">The National Rural Health Association (NRHA) is pleased to offer comments on the CMS </w:t>
      </w:r>
      <w:r w:rsidR="004628BB">
        <w:rPr>
          <w:bCs/>
        </w:rPr>
        <w:t xml:space="preserve">Final </w:t>
      </w:r>
      <w:r w:rsidRPr="00CE0BFC">
        <w:rPr>
          <w:bCs/>
        </w:rPr>
        <w:t xml:space="preserve">rule </w:t>
      </w:r>
      <w:r w:rsidR="004628BB">
        <w:rPr>
          <w:bCs/>
        </w:rPr>
        <w:t xml:space="preserve">and Request for Information </w:t>
      </w:r>
      <w:r w:rsidRPr="00CE0BFC">
        <w:rPr>
          <w:bCs/>
        </w:rPr>
        <w:t xml:space="preserve">for </w:t>
      </w:r>
      <w:r w:rsidR="004628BB">
        <w:t>Methods for Assuring Access to Covered Medicaid Services</w:t>
      </w:r>
      <w:r w:rsidR="007F4C8D">
        <w:t>.</w:t>
      </w:r>
      <w:r w:rsidRPr="00CE0BFC">
        <w:rPr>
          <w:bCs/>
        </w:rPr>
        <w:t xml:space="preserve"> We appreciate your continued commitment to the needs of the 62 millio</w:t>
      </w:r>
      <w:r>
        <w:rPr>
          <w:bCs/>
        </w:rPr>
        <w:t>n Americans residing in rural</w:t>
      </w:r>
      <w:r w:rsidRPr="00CE0BFC">
        <w:rPr>
          <w:bCs/>
        </w:rPr>
        <w:t xml:space="preserve"> areas, and look forward</w:t>
      </w:r>
      <w:r>
        <w:rPr>
          <w:bCs/>
        </w:rPr>
        <w:t xml:space="preserve"> to</w:t>
      </w:r>
      <w:r w:rsidRPr="00CE0BFC">
        <w:rPr>
          <w:bCs/>
        </w:rPr>
        <w:t xml:space="preserve"> our continued collaboration to improve health care access and quality</w:t>
      </w:r>
      <w:r>
        <w:rPr>
          <w:bCs/>
        </w:rPr>
        <w:t xml:space="preserve"> throughout rural America</w:t>
      </w:r>
      <w:r w:rsidRPr="00CE0BFC">
        <w:rPr>
          <w:bCs/>
        </w:rPr>
        <w:t xml:space="preserve">.  </w:t>
      </w:r>
    </w:p>
    <w:p w:rsidR="00FD2F5A" w:rsidRDefault="00F00FA5" w:rsidP="00621B87">
      <w:pPr>
        <w:spacing w:after="120" w:line="360" w:lineRule="auto"/>
        <w:ind w:firstLine="720"/>
        <w:rPr>
          <w:bCs/>
        </w:rPr>
      </w:pPr>
      <w:r w:rsidRPr="00CE0BFC">
        <w:rPr>
          <w:bCs/>
        </w:rPr>
        <w:t>The NRHA is a non-profit membership organization with more than 2</w:t>
      </w:r>
      <w:r>
        <w:rPr>
          <w:bCs/>
        </w:rPr>
        <w:t>1,000 members nation</w:t>
      </w:r>
      <w:r w:rsidRPr="00CE0BFC">
        <w:rPr>
          <w:bCs/>
        </w:rPr>
        <w:t xml:space="preserve">wide that provides leadership on rural health issues.  Our membership includes nearly every component of rural America’s health care infrastructure, including rural community hospitals, critical access hospitals, doctors, nurses and patients.  We work to improve rural America’s health needs through government advocacy, communications, education and research.  </w:t>
      </w:r>
    </w:p>
    <w:p w:rsidR="00F00FA5" w:rsidRDefault="00F00FA5" w:rsidP="00621B87">
      <w:pPr>
        <w:spacing w:after="120" w:line="360" w:lineRule="auto"/>
        <w:ind w:firstLine="720"/>
        <w:rPr>
          <w:bCs/>
        </w:rPr>
      </w:pPr>
      <w:r w:rsidRPr="00CE0BFC">
        <w:rPr>
          <w:bCs/>
        </w:rPr>
        <w:t xml:space="preserve">We appreciate CMS’ continued emphasis on narrowing the gap between rural patients and providers. </w:t>
      </w:r>
      <w:r>
        <w:rPr>
          <w:bCs/>
        </w:rPr>
        <w:t>In collaboration with NRHA policy partners</w:t>
      </w:r>
      <w:r w:rsidR="004628BB">
        <w:rPr>
          <w:bCs/>
        </w:rPr>
        <w:t>, w</w:t>
      </w:r>
      <w:r w:rsidRPr="00CE0BFC">
        <w:rPr>
          <w:bCs/>
        </w:rPr>
        <w:t>e look forward to our continued collaboration</w:t>
      </w:r>
      <w:r w:rsidR="004628BB">
        <w:rPr>
          <w:bCs/>
        </w:rPr>
        <w:t xml:space="preserve"> to ensure access to necessary care for Medicaid beneficiaries living in rural America</w:t>
      </w:r>
      <w:r>
        <w:rPr>
          <w:bCs/>
        </w:rPr>
        <w:t>.</w:t>
      </w:r>
    </w:p>
    <w:p w:rsidR="00A27FF9" w:rsidRDefault="004628BB" w:rsidP="00621B87">
      <w:pPr>
        <w:spacing w:line="360" w:lineRule="auto"/>
        <w:ind w:firstLine="720"/>
      </w:pPr>
      <w:r w:rsidRPr="005F50E3">
        <w:t xml:space="preserve">Access to quality, affordable health care </w:t>
      </w:r>
      <w:r>
        <w:t xml:space="preserve">is essential </w:t>
      </w:r>
      <w:r w:rsidRPr="005F50E3">
        <w:t xml:space="preserve">for the 62 million Americans living in rural and remote communities. </w:t>
      </w:r>
      <w:r w:rsidR="00A27FF9" w:rsidRPr="005F50E3">
        <w:t xml:space="preserve">Rural Americans are more likely to be older, </w:t>
      </w:r>
      <w:r w:rsidR="00A27FF9">
        <w:t xml:space="preserve">sicker and </w:t>
      </w:r>
      <w:r w:rsidR="00A27FF9" w:rsidRPr="005F50E3">
        <w:t xml:space="preserve">poorer </w:t>
      </w:r>
      <w:r w:rsidR="00A27FF9">
        <w:t xml:space="preserve">then their urban counterparts. Specifically, they are more likely to suffer with a chronic disease </w:t>
      </w:r>
      <w:r w:rsidR="00A27FF9">
        <w:lastRenderedPageBreak/>
        <w:t>that requires monitoring and follow up care, making convenient, local access to care necessary to ensuring patient compliance with the services that are necessary to reduce the overall cost of care and improve the patients’ outcomes and quality of life. Yet, m</w:t>
      </w:r>
      <w:r w:rsidR="00A27FF9" w:rsidRPr="005F50E3">
        <w:t xml:space="preserve">any rural Americans live in areas with limited health care resources, restricting their available options for care, including </w:t>
      </w:r>
      <w:r>
        <w:t>primary care.</w:t>
      </w:r>
    </w:p>
    <w:p w:rsidR="004628BB" w:rsidRPr="005F50E3" w:rsidRDefault="004628BB" w:rsidP="00621B87">
      <w:pPr>
        <w:spacing w:line="360" w:lineRule="auto"/>
        <w:ind w:firstLine="720"/>
      </w:pPr>
      <w:r w:rsidRPr="005F50E3">
        <w:t xml:space="preserve">Rural Medicare beneficiaries face a number of challenges when trying to access health care close to home. </w:t>
      </w:r>
      <w:r>
        <w:t>Seventy</w:t>
      </w:r>
      <w:r w:rsidRPr="005F50E3">
        <w:t>-seven percent of rural counties in the U.S. are Primary Care Health Professional Shortage Areas while nine percent have no physicians at all. Rural seniors are forced to travel significant distances for care, especially specialty services.</w:t>
      </w:r>
      <w:r>
        <w:t xml:space="preserve"> In an emergency, rural American</w:t>
      </w:r>
      <w:r w:rsidR="009D0C93">
        <w:t>s</w:t>
      </w:r>
      <w:r>
        <w:t xml:space="preserve"> travel twice as far as their urban counterparts to receive care. As a result, while 20% of American live in rural areas, 60% of trauma deaths occur in rural America.</w:t>
      </w:r>
    </w:p>
    <w:p w:rsidR="004628BB" w:rsidRPr="005F50E3" w:rsidRDefault="004628BB" w:rsidP="00621B87">
      <w:pPr>
        <w:spacing w:line="360" w:lineRule="auto"/>
      </w:pPr>
    </w:p>
    <w:p w:rsidR="004628BB" w:rsidRPr="005F50E3" w:rsidRDefault="004628BB" w:rsidP="00621B87">
      <w:pPr>
        <w:spacing w:line="360" w:lineRule="auto"/>
      </w:pPr>
      <w:r w:rsidRPr="005F50E3">
        <w:tab/>
        <w:t xml:space="preserve">Rural programs and designations, </w:t>
      </w:r>
      <w:r w:rsidR="009D0C93">
        <w:t>for example</w:t>
      </w:r>
      <w:r w:rsidR="009D0C93" w:rsidRPr="005F50E3">
        <w:t xml:space="preserve"> </w:t>
      </w:r>
      <w:r w:rsidRPr="005F50E3">
        <w:t xml:space="preserve">the Physician Work Geographic Practice Cost Index </w:t>
      </w:r>
      <w:r w:rsidR="009D0C93">
        <w:t>and</w:t>
      </w:r>
      <w:r w:rsidRPr="005F50E3">
        <w:t xml:space="preserve"> Critical Access Hospitals, </w:t>
      </w:r>
      <w:r>
        <w:t>are essential to increasing</w:t>
      </w:r>
      <w:r w:rsidRPr="005F50E3">
        <w:t xml:space="preserve"> the capacity of the rural health care delivery system </w:t>
      </w:r>
      <w:r>
        <w:t>to ensure access for rural senior</w:t>
      </w:r>
      <w:r w:rsidR="009D0C93">
        <w:t>s</w:t>
      </w:r>
      <w:r>
        <w:t xml:space="preserve"> and make sure these rural safety net providers can fulfill that mission. </w:t>
      </w:r>
      <w:r w:rsidRPr="005F50E3">
        <w:t>NRHA urges the Committee to continue its strong support of these important programs.</w:t>
      </w:r>
    </w:p>
    <w:p w:rsidR="004628BB" w:rsidRDefault="004628BB" w:rsidP="00621B87">
      <w:pPr>
        <w:spacing w:line="360" w:lineRule="auto"/>
      </w:pPr>
    </w:p>
    <w:p w:rsidR="004628BB" w:rsidRDefault="00A27FF9" w:rsidP="00621B87">
      <w:pPr>
        <w:spacing w:line="360" w:lineRule="auto"/>
        <w:ind w:firstLine="720"/>
      </w:pPr>
      <w:r w:rsidRPr="005F50E3">
        <w:t xml:space="preserve">Rural health care delivery is challenging.  Workforce shortages, older and poorer patient populations, geographic barriers, low patient volumes and high uninsured and under-insured populations are just a few of the </w:t>
      </w:r>
      <w:r w:rsidR="009D0C93">
        <w:t>challenges</w:t>
      </w:r>
      <w:r w:rsidRPr="005F50E3">
        <w:t xml:space="preserve">. </w:t>
      </w:r>
      <w:r>
        <w:t xml:space="preserve">Rural physicians and hospitals work around many of these barriers to provide high quality personalized care to their communities. These care givers and hospitals work with a patient population, and their caregivers, that are more likely to be poor and lacking in many of the resources that often lead to better outcomes. Considerations of geography are more than a matter of convenience, as </w:t>
      </w:r>
      <w:r w:rsidR="00EB4142">
        <w:t xml:space="preserve">patients </w:t>
      </w:r>
      <w:r>
        <w:t xml:space="preserve">may have no means of transportation to allow for care in more distant locations. </w:t>
      </w:r>
      <w:r w:rsidR="00EB4142">
        <w:t>This is especially true in Medicaid eligible populations.</w:t>
      </w:r>
    </w:p>
    <w:p w:rsidR="00A27FF9" w:rsidRDefault="004628BB" w:rsidP="00621B87">
      <w:pPr>
        <w:spacing w:line="360" w:lineRule="auto"/>
        <w:ind w:firstLine="720"/>
      </w:pPr>
      <w:r w:rsidRPr="005F50E3">
        <w:t xml:space="preserve">Medicare and Medicaid – major components of rural health care – pay rural providers less than their urban counterparts. </w:t>
      </w:r>
      <w:r>
        <w:t xml:space="preserve">Medicare </w:t>
      </w:r>
      <w:r w:rsidRPr="005F50E3">
        <w:t>spends 2.5 percent less on rural beneficiaries than it does on urban beneficiaries.</w:t>
      </w:r>
      <w:r>
        <w:t xml:space="preserve"> </w:t>
      </w:r>
      <w:r w:rsidRPr="005F50E3">
        <w:t>Rural health care providers operate on very thin margin</w:t>
      </w:r>
      <w:r>
        <w:t>s</w:t>
      </w:r>
      <w:r w:rsidRPr="005F50E3">
        <w:t xml:space="preserve"> and many rural communities have severe medical workforce shortages. </w:t>
      </w:r>
      <w:r>
        <w:t xml:space="preserve">Yet, </w:t>
      </w:r>
      <w:r w:rsidRPr="005F50E3">
        <w:t>rural physicians</w:t>
      </w:r>
      <w:r>
        <w:t xml:space="preserve">, who </w:t>
      </w:r>
      <w:r w:rsidRPr="005F50E3">
        <w:t xml:space="preserve">put as much time, skill and intensity into their work as </w:t>
      </w:r>
      <w:r>
        <w:t xml:space="preserve">their </w:t>
      </w:r>
      <w:r w:rsidRPr="005F50E3">
        <w:t xml:space="preserve">urban </w:t>
      </w:r>
      <w:r>
        <w:t>counterparts</w:t>
      </w:r>
      <w:r w:rsidRPr="005F50E3">
        <w:t>, are reimbursed at lower rates.</w:t>
      </w:r>
    </w:p>
    <w:p w:rsidR="004628BB" w:rsidRDefault="004628BB" w:rsidP="00621B87">
      <w:pPr>
        <w:spacing w:line="360" w:lineRule="auto"/>
      </w:pPr>
      <w:r w:rsidRPr="005F50E3">
        <w:lastRenderedPageBreak/>
        <w:tab/>
      </w:r>
      <w:r>
        <w:t>Congress has created s</w:t>
      </w:r>
      <w:r w:rsidRPr="005F50E3">
        <w:t xml:space="preserve">everal </w:t>
      </w:r>
      <w:r>
        <w:t xml:space="preserve">rural health </w:t>
      </w:r>
      <w:r w:rsidRPr="005F50E3">
        <w:t>payment provisions to improve access to care in rural America</w:t>
      </w:r>
      <w:r>
        <w:t>. While these programs have been largely successful in maintaining access, considerations of access in rural America are essential within the Medicaid program as well. Ensuring each Medicaid program provides sufficient resources to allow f</w:t>
      </w:r>
      <w:r w:rsidR="00EB4142">
        <w:t>o</w:t>
      </w:r>
      <w:r>
        <w:t>r rural provider participation is essential to the success of each program. Rural Healthy People 2010 highlighted access as the greatest challenge in rural health. Unfortunately, even with existing rural health programs, it remains the number one problem in the updated Rural Health People 2020. More must be done to ensure rural Americans have access to the health care resources necessary to allow them to lead healthy lives.</w:t>
      </w:r>
    </w:p>
    <w:p w:rsidR="004628BB" w:rsidRPr="005F50E3" w:rsidRDefault="004628BB" w:rsidP="00621B87">
      <w:pPr>
        <w:widowControl w:val="0"/>
        <w:autoSpaceDE w:val="0"/>
        <w:autoSpaceDN w:val="0"/>
        <w:adjustRightInd w:val="0"/>
        <w:spacing w:line="360" w:lineRule="auto"/>
      </w:pPr>
      <w:r w:rsidRPr="005F50E3">
        <w:tab/>
      </w:r>
      <w:r>
        <w:t xml:space="preserve">Programs ensuring sufficient </w:t>
      </w:r>
      <w:r w:rsidRPr="005F50E3">
        <w:t>rural payment</w:t>
      </w:r>
      <w:r>
        <w:t>s</w:t>
      </w:r>
      <w:r w:rsidRPr="005F50E3">
        <w:t xml:space="preserve"> for hospitals</w:t>
      </w:r>
      <w:r>
        <w:t xml:space="preserve"> and providers</w:t>
      </w:r>
      <w:r w:rsidRPr="005F50E3">
        <w:t xml:space="preserve"> are not ‘bonus’ or ‘special’ payments, but rather alternative, cost-effective and targeted payment formulas that </w:t>
      </w:r>
      <w:r w:rsidR="00EB4142">
        <w:t xml:space="preserve">compensate for poorly designed payment schemes that were never meant to be applied to small volume facilities. For example, the Prospective Payment System (PPS) system which closed more than 400 rural, small volume hospitals after its implementation in 1983. These rural payment programs have been able to </w:t>
      </w:r>
      <w:r w:rsidRPr="005F50E3">
        <w:t xml:space="preserve">maintain access to care for millions of rural patients and </w:t>
      </w:r>
      <w:r w:rsidR="00EB4142">
        <w:t xml:space="preserve">provide </w:t>
      </w:r>
      <w:r w:rsidRPr="005F50E3">
        <w:t>financial stability for thousands of rural providers across the country.</w:t>
      </w:r>
      <w:r>
        <w:t xml:space="preserve"> Without special</w:t>
      </w:r>
      <w:r w:rsidR="00EB4142">
        <w:t xml:space="preserve"> attention to</w:t>
      </w:r>
      <w:r>
        <w:t xml:space="preserve"> the needs of the rural providers that see fewer privately ensured patients </w:t>
      </w:r>
      <w:r w:rsidR="00EB4142">
        <w:t>that often</w:t>
      </w:r>
      <w:r>
        <w:t xml:space="preserve"> offset lower payments made </w:t>
      </w:r>
      <w:r w:rsidR="00EB4142">
        <w:t xml:space="preserve">on behalf of </w:t>
      </w:r>
      <w:r>
        <w:t xml:space="preserve">Medicaid and Medicare patients, rural patients would be forced to travel further for more expensive care. Or worse, these rural Americans would </w:t>
      </w:r>
      <w:r w:rsidR="00EB4142">
        <w:t>delay</w:t>
      </w:r>
      <w:r>
        <w:t xml:space="preserve"> essential care because they could not reach the necessary medical providers, resulting in poorer health, a lower quality of life, and more expensive care later. </w:t>
      </w:r>
      <w:r w:rsidR="00017C16">
        <w:t>E</w:t>
      </w:r>
      <w:r>
        <w:t>xisting rural payment</w:t>
      </w:r>
      <w:r w:rsidR="00017C16">
        <w:t xml:space="preserve"> programs</w:t>
      </w:r>
      <w:r>
        <w:t xml:space="preserve"> help, but rural access remains a critical problem with potential life and death consequences for rural Americans.</w:t>
      </w:r>
    </w:p>
    <w:p w:rsidR="004628BB" w:rsidRDefault="004628BB" w:rsidP="00621B87">
      <w:pPr>
        <w:spacing w:line="360" w:lineRule="auto"/>
      </w:pPr>
    </w:p>
    <w:p w:rsidR="004628BB" w:rsidRPr="005F50E3" w:rsidRDefault="004628BB" w:rsidP="00621B87">
      <w:pPr>
        <w:spacing w:line="360" w:lineRule="auto"/>
        <w:rPr>
          <w:b/>
        </w:rPr>
      </w:pPr>
      <w:r>
        <w:rPr>
          <w:b/>
        </w:rPr>
        <w:t>NRHA is particularly concerned about the impact of the rural hospital closures o</w:t>
      </w:r>
      <w:r w:rsidR="00017C16">
        <w:rPr>
          <w:b/>
        </w:rPr>
        <w:t>n</w:t>
      </w:r>
      <w:r>
        <w:rPr>
          <w:b/>
        </w:rPr>
        <w:t xml:space="preserve"> Medicaid patient access.</w:t>
      </w:r>
      <w:r w:rsidRPr="005F50E3">
        <w:rPr>
          <w:b/>
        </w:rPr>
        <w:tab/>
      </w:r>
    </w:p>
    <w:p w:rsidR="004628BB" w:rsidRPr="005F50E3" w:rsidRDefault="004628BB" w:rsidP="00621B87">
      <w:pPr>
        <w:spacing w:line="360" w:lineRule="auto"/>
        <w:rPr>
          <w:b/>
        </w:rPr>
      </w:pPr>
    </w:p>
    <w:p w:rsidR="004628BB" w:rsidRPr="005F50E3" w:rsidRDefault="004628BB" w:rsidP="00621B87">
      <w:pPr>
        <w:spacing w:line="360" w:lineRule="auto"/>
      </w:pPr>
      <w:r w:rsidRPr="005F50E3">
        <w:tab/>
        <w:t>Rural health care challenges are well known – from accessing health care servic</w:t>
      </w:r>
      <w:bookmarkStart w:id="0" w:name="_GoBack"/>
      <w:bookmarkEnd w:id="0"/>
      <w:r w:rsidRPr="005F50E3">
        <w:t>es to recruiting and retaining health professionals. Rural communities depend on safety net providers such as Critical Access Hospitals, Community Health Centers, Rural Health Clinics and Federally Qualified Health Centers.</w:t>
      </w:r>
    </w:p>
    <w:p w:rsidR="004628BB" w:rsidRPr="005F50E3" w:rsidRDefault="004628BB" w:rsidP="00621B87">
      <w:pPr>
        <w:spacing w:line="360" w:lineRule="auto"/>
      </w:pPr>
    </w:p>
    <w:p w:rsidR="004628BB" w:rsidRPr="005F50E3" w:rsidRDefault="004628BB" w:rsidP="00621B87">
      <w:pPr>
        <w:spacing w:line="360" w:lineRule="auto"/>
      </w:pPr>
      <w:r w:rsidRPr="005F50E3">
        <w:lastRenderedPageBreak/>
        <w:tab/>
        <w:t xml:space="preserve">But these important rural access points are facing a closure crisis. </w:t>
      </w:r>
      <w:r>
        <w:t>Sixty-one</w:t>
      </w:r>
      <w:r w:rsidRPr="005F50E3">
        <w:t xml:space="preserve"> rural hospitals have closed</w:t>
      </w:r>
      <w:r>
        <w:t xml:space="preserve"> since 2010</w:t>
      </w:r>
      <w:r w:rsidRPr="005F50E3">
        <w:t xml:space="preserve">; 283 more are on the brink of closure. Since the start of 2013, more rural hospitals have closed than in the previous 10 years—combined. </w:t>
      </w:r>
      <w:r w:rsidRPr="004A409C">
        <w:t xml:space="preserve">These closures are a part of a larger trend according to the Cecil G. Sheps Center for Health Services Research at the University </w:t>
      </w:r>
      <w:r>
        <w:t>of North Carolina</w:t>
      </w:r>
      <w:r w:rsidRPr="004A409C">
        <w:t>, and their numbers show the rate is escalating.</w:t>
      </w:r>
      <w:r>
        <w:t xml:space="preserve"> </w:t>
      </w:r>
      <w:r w:rsidRPr="005F50E3">
        <w:t xml:space="preserve">Continued cuts in hospital </w:t>
      </w:r>
      <w:r>
        <w:t xml:space="preserve">reimbursements </w:t>
      </w:r>
      <w:r w:rsidRPr="005F50E3">
        <w:t>have taken their toll, forcing far too many closures and leaving many of our nation’s most vulnerable populations without timely access to care.</w:t>
      </w:r>
    </w:p>
    <w:p w:rsidR="004628BB" w:rsidRPr="005F50E3" w:rsidRDefault="004628BB" w:rsidP="00621B87">
      <w:pPr>
        <w:spacing w:line="360" w:lineRule="auto"/>
      </w:pPr>
    </w:p>
    <w:p w:rsidR="004628BB" w:rsidRPr="005F50E3" w:rsidRDefault="004628BB" w:rsidP="00621B87">
      <w:pPr>
        <w:widowControl w:val="0"/>
        <w:overflowPunct w:val="0"/>
        <w:autoSpaceDE w:val="0"/>
        <w:autoSpaceDN w:val="0"/>
        <w:adjustRightInd w:val="0"/>
        <w:spacing w:line="360" w:lineRule="auto"/>
        <w:ind w:right="140"/>
      </w:pPr>
      <w:r>
        <w:tab/>
      </w:r>
      <w:r w:rsidRPr="005F50E3">
        <w:t xml:space="preserve">If these 283 rural hospitals on the brink to close, then 700,000 patients would lose direct access to care. </w:t>
      </w:r>
      <w:r>
        <w:t xml:space="preserve">Already </w:t>
      </w:r>
      <w:r w:rsidRPr="005F50E3">
        <w:t xml:space="preserve">640 counties across the country are without quick access to an acute-care hospital.  </w:t>
      </w:r>
      <w:r>
        <w:t>Seventy-</w:t>
      </w:r>
      <w:r w:rsidRPr="005F50E3">
        <w:t xml:space="preserve">seven percent of the nation’s 2,041 rural counties are Health Professional Shortage Areas. More than 40 percent of rural patients have to travel 20 or more miles to receive specialty care, compared to 3 percent of metropolitan patients. </w:t>
      </w:r>
    </w:p>
    <w:p w:rsidR="004628BB" w:rsidRPr="005F50E3" w:rsidRDefault="004628BB" w:rsidP="00621B87">
      <w:pPr>
        <w:widowControl w:val="0"/>
        <w:overflowPunct w:val="0"/>
        <w:autoSpaceDE w:val="0"/>
        <w:autoSpaceDN w:val="0"/>
        <w:adjustRightInd w:val="0"/>
        <w:spacing w:line="360" w:lineRule="auto"/>
        <w:ind w:right="140"/>
      </w:pPr>
    </w:p>
    <w:p w:rsidR="00D85E7E" w:rsidRPr="00D85E7E" w:rsidRDefault="00D85E7E" w:rsidP="00621B87">
      <w:pPr>
        <w:spacing w:line="360" w:lineRule="auto"/>
        <w:ind w:firstLine="720"/>
        <w:rPr>
          <w:bCs/>
        </w:rPr>
      </w:pPr>
      <w:r w:rsidRPr="00D85E7E">
        <w:rPr>
          <w:bCs/>
        </w:rPr>
        <w:t xml:space="preserve">Thank you for the chance to offer comments on this proposed rule, and for your consideration on our comments.  We very much look forward to continuing our work together to ensure our mutual goal of improving quality of and access to care.  If you would like additional information, please contact </w:t>
      </w:r>
      <w:r w:rsidR="001843DE">
        <w:rPr>
          <w:bCs/>
        </w:rPr>
        <w:t xml:space="preserve">Diane Calmus </w:t>
      </w:r>
      <w:r w:rsidRPr="00D85E7E">
        <w:rPr>
          <w:bCs/>
        </w:rPr>
        <w:t>at d</w:t>
      </w:r>
      <w:r w:rsidR="001843DE">
        <w:rPr>
          <w:bCs/>
        </w:rPr>
        <w:t>ca</w:t>
      </w:r>
      <w:r w:rsidRPr="00D85E7E">
        <w:rPr>
          <w:bCs/>
        </w:rPr>
        <w:t>l</w:t>
      </w:r>
      <w:r w:rsidR="001843DE">
        <w:rPr>
          <w:bCs/>
        </w:rPr>
        <w:t>mus</w:t>
      </w:r>
      <w:r w:rsidRPr="00D85E7E">
        <w:rPr>
          <w:bCs/>
        </w:rPr>
        <w:t>@nrharural.org, or 202-639-0550.</w:t>
      </w:r>
    </w:p>
    <w:p w:rsidR="00D85E7E" w:rsidRPr="00D85E7E" w:rsidRDefault="00D85E7E" w:rsidP="00D85E7E">
      <w:pPr>
        <w:spacing w:line="360" w:lineRule="auto"/>
        <w:rPr>
          <w:bCs/>
        </w:rPr>
      </w:pPr>
    </w:p>
    <w:p w:rsidR="00D85E7E" w:rsidRPr="00D85E7E" w:rsidRDefault="00D85E7E" w:rsidP="00D85E7E">
      <w:pPr>
        <w:rPr>
          <w:bCs/>
        </w:rPr>
      </w:pPr>
      <w:r w:rsidRPr="00D85E7E">
        <w:rPr>
          <w:bCs/>
        </w:rPr>
        <w:t>Sincerely,</w:t>
      </w:r>
    </w:p>
    <w:p w:rsidR="00D85E7E" w:rsidRPr="00D85E7E" w:rsidRDefault="00D85E7E" w:rsidP="00D85E7E">
      <w:pPr>
        <w:rPr>
          <w:bCs/>
        </w:rPr>
      </w:pPr>
      <w:r w:rsidRPr="00D85E7E">
        <w:rPr>
          <w:bCs/>
          <w:noProof/>
        </w:rPr>
        <w:drawing>
          <wp:anchor distT="0" distB="0" distL="114300" distR="114300" simplePos="0" relativeHeight="251660800" behindDoc="1" locked="0" layoutInCell="1" allowOverlap="1">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8"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rsidR="00D85E7E" w:rsidRPr="00D85E7E" w:rsidRDefault="00D85E7E" w:rsidP="00D85E7E">
      <w:pPr>
        <w:rPr>
          <w:bCs/>
        </w:rPr>
      </w:pPr>
    </w:p>
    <w:p w:rsidR="00D85E7E" w:rsidRPr="00D85E7E" w:rsidRDefault="00D85E7E" w:rsidP="00D85E7E">
      <w:pPr>
        <w:rPr>
          <w:bCs/>
        </w:rPr>
      </w:pPr>
    </w:p>
    <w:p w:rsidR="00D85E7E" w:rsidRPr="00D85E7E" w:rsidRDefault="00D85E7E" w:rsidP="00D85E7E">
      <w:pPr>
        <w:rPr>
          <w:bCs/>
        </w:rPr>
      </w:pPr>
      <w:r w:rsidRPr="00D85E7E">
        <w:rPr>
          <w:bCs/>
        </w:rPr>
        <w:t>Alan Morgan</w:t>
      </w:r>
    </w:p>
    <w:p w:rsidR="00D85E7E" w:rsidRPr="00D85E7E" w:rsidRDefault="00D85E7E" w:rsidP="00D85E7E">
      <w:pPr>
        <w:rPr>
          <w:bCs/>
        </w:rPr>
      </w:pPr>
      <w:r w:rsidRPr="00D85E7E">
        <w:rPr>
          <w:bCs/>
        </w:rPr>
        <w:t>Chief Executive Officer</w:t>
      </w:r>
    </w:p>
    <w:p w:rsidR="00D85E7E" w:rsidRDefault="00D85E7E" w:rsidP="00D85E7E">
      <w:pPr>
        <w:rPr>
          <w:bCs/>
        </w:rPr>
      </w:pPr>
      <w:r w:rsidRPr="00D85E7E">
        <w:rPr>
          <w:bCs/>
        </w:rPr>
        <w:t>National Rural Health Association</w:t>
      </w:r>
    </w:p>
    <w:p w:rsidR="00D85E7E" w:rsidRPr="001106C8" w:rsidRDefault="00D85E7E" w:rsidP="0082093B">
      <w:pPr>
        <w:spacing w:line="360" w:lineRule="auto"/>
      </w:pPr>
    </w:p>
    <w:p w:rsidR="005E3F48" w:rsidRDefault="005E3F48" w:rsidP="0082093B">
      <w:pPr>
        <w:spacing w:line="360" w:lineRule="auto"/>
      </w:pPr>
    </w:p>
    <w:p w:rsidR="005E3F48" w:rsidRPr="005E3F48" w:rsidRDefault="005E3F48" w:rsidP="0082093B">
      <w:pPr>
        <w:spacing w:line="360" w:lineRule="auto"/>
        <w:rPr>
          <w:b/>
          <w:u w:val="single"/>
        </w:rPr>
      </w:pPr>
    </w:p>
    <w:sectPr w:rsidR="005E3F48" w:rsidRPr="005E3F48" w:rsidSect="00FD2F5A">
      <w:headerReference w:type="even" r:id="rId9"/>
      <w:headerReference w:type="default" r:id="rId10"/>
      <w:footerReference w:type="default" r:id="rId11"/>
      <w:pgSz w:w="12240" w:h="15840"/>
      <w:pgMar w:top="90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76" w:rsidRDefault="00EF1576">
      <w:r>
        <w:separator/>
      </w:r>
    </w:p>
  </w:endnote>
  <w:endnote w:type="continuationSeparator" w:id="0">
    <w:p w:rsidR="00EF1576" w:rsidRDefault="00EF1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8F" w:rsidRPr="00807537" w:rsidRDefault="00967A8F" w:rsidP="00967A8F">
    <w:pPr>
      <w:jc w:val="center"/>
      <w:rPr>
        <w:b/>
      </w:rPr>
    </w:pPr>
    <w:r>
      <w:rPr>
        <w:b/>
      </w:rPr>
      <w:t>www.RuralHealthWeb.org</w:t>
    </w:r>
  </w:p>
  <w:p w:rsidR="00967A8F" w:rsidRDefault="00967A8F">
    <w:pPr>
      <w:pStyle w:val="Footer"/>
    </w:pPr>
  </w:p>
  <w:p w:rsidR="00967A8F" w:rsidRDefault="00967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76" w:rsidRDefault="00EF1576">
      <w:r>
        <w:separator/>
      </w:r>
    </w:p>
  </w:footnote>
  <w:footnote w:type="continuationSeparator" w:id="0">
    <w:p w:rsidR="00EF1576" w:rsidRDefault="00EF1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28" w:rsidRDefault="0046119A" w:rsidP="002075D6">
    <w:pPr>
      <w:pStyle w:val="Header"/>
      <w:framePr w:wrap="around" w:vAnchor="text" w:hAnchor="margin" w:xAlign="right" w:y="1"/>
      <w:rPr>
        <w:rStyle w:val="PageNumber"/>
      </w:rPr>
    </w:pPr>
    <w:r>
      <w:rPr>
        <w:rStyle w:val="PageNumber"/>
      </w:rPr>
      <w:fldChar w:fldCharType="begin"/>
    </w:r>
    <w:r w:rsidR="00F81D28">
      <w:rPr>
        <w:rStyle w:val="PageNumber"/>
      </w:rPr>
      <w:instrText xml:space="preserve">PAGE  </w:instrText>
    </w:r>
    <w:r>
      <w:rPr>
        <w:rStyle w:val="PageNumber"/>
      </w:rPr>
      <w:fldChar w:fldCharType="end"/>
    </w:r>
  </w:p>
  <w:p w:rsidR="00F81D28" w:rsidRDefault="00F81D28" w:rsidP="00F81D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28" w:rsidRDefault="00F81D28" w:rsidP="00F81D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EED"/>
    <w:multiLevelType w:val="hybridMultilevel"/>
    <w:tmpl w:val="3C2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6B0F5C"/>
    <w:multiLevelType w:val="hybridMultilevel"/>
    <w:tmpl w:val="BA88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F667E7"/>
    <w:multiLevelType w:val="hybridMultilevel"/>
    <w:tmpl w:val="A01E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ck Slabach">
    <w15:presenceInfo w15:providerId="AD" w15:userId="S-1-5-21-1957994488-436374069-854245398-16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C03CB"/>
    <w:rsid w:val="00017C16"/>
    <w:rsid w:val="00017FC5"/>
    <w:rsid w:val="00020F7E"/>
    <w:rsid w:val="00027B72"/>
    <w:rsid w:val="000522F4"/>
    <w:rsid w:val="00082CC4"/>
    <w:rsid w:val="000C1857"/>
    <w:rsid w:val="000C5F06"/>
    <w:rsid w:val="000E0CEA"/>
    <w:rsid w:val="00106A75"/>
    <w:rsid w:val="001106C8"/>
    <w:rsid w:val="00143275"/>
    <w:rsid w:val="00144409"/>
    <w:rsid w:val="00144F36"/>
    <w:rsid w:val="001611B5"/>
    <w:rsid w:val="001843DE"/>
    <w:rsid w:val="00191BBE"/>
    <w:rsid w:val="001D176C"/>
    <w:rsid w:val="001F5EDE"/>
    <w:rsid w:val="001F7077"/>
    <w:rsid w:val="002075D6"/>
    <w:rsid w:val="0027787A"/>
    <w:rsid w:val="002B622D"/>
    <w:rsid w:val="002C03CB"/>
    <w:rsid w:val="002F08EA"/>
    <w:rsid w:val="00300FC4"/>
    <w:rsid w:val="0038240E"/>
    <w:rsid w:val="003D5AE1"/>
    <w:rsid w:val="00407705"/>
    <w:rsid w:val="0042007B"/>
    <w:rsid w:val="00446592"/>
    <w:rsid w:val="00456851"/>
    <w:rsid w:val="004578E7"/>
    <w:rsid w:val="0046119A"/>
    <w:rsid w:val="004628BB"/>
    <w:rsid w:val="00485B43"/>
    <w:rsid w:val="004A6B9C"/>
    <w:rsid w:val="004E2A8E"/>
    <w:rsid w:val="0052633F"/>
    <w:rsid w:val="00530D96"/>
    <w:rsid w:val="0054055A"/>
    <w:rsid w:val="00556E58"/>
    <w:rsid w:val="005600A3"/>
    <w:rsid w:val="00561E15"/>
    <w:rsid w:val="00561E3F"/>
    <w:rsid w:val="005918AC"/>
    <w:rsid w:val="005E3F48"/>
    <w:rsid w:val="005F3118"/>
    <w:rsid w:val="005F61AE"/>
    <w:rsid w:val="00621B87"/>
    <w:rsid w:val="00633C17"/>
    <w:rsid w:val="00664EC3"/>
    <w:rsid w:val="006656AF"/>
    <w:rsid w:val="0068630A"/>
    <w:rsid w:val="006B6058"/>
    <w:rsid w:val="006C4B37"/>
    <w:rsid w:val="006F4822"/>
    <w:rsid w:val="00706053"/>
    <w:rsid w:val="00734594"/>
    <w:rsid w:val="007828C1"/>
    <w:rsid w:val="007A2A86"/>
    <w:rsid w:val="007F01B5"/>
    <w:rsid w:val="007F4C8D"/>
    <w:rsid w:val="007F7D09"/>
    <w:rsid w:val="00800B06"/>
    <w:rsid w:val="00807537"/>
    <w:rsid w:val="0082093B"/>
    <w:rsid w:val="008725E3"/>
    <w:rsid w:val="008A303D"/>
    <w:rsid w:val="008A47B0"/>
    <w:rsid w:val="008B44D7"/>
    <w:rsid w:val="008E10DD"/>
    <w:rsid w:val="008E2A78"/>
    <w:rsid w:val="00937BE3"/>
    <w:rsid w:val="00943A27"/>
    <w:rsid w:val="009455FE"/>
    <w:rsid w:val="00951B73"/>
    <w:rsid w:val="00967A8F"/>
    <w:rsid w:val="00977280"/>
    <w:rsid w:val="00987541"/>
    <w:rsid w:val="00994E6D"/>
    <w:rsid w:val="009B02FF"/>
    <w:rsid w:val="009B7EFC"/>
    <w:rsid w:val="009D0C93"/>
    <w:rsid w:val="00A02EA6"/>
    <w:rsid w:val="00A209D0"/>
    <w:rsid w:val="00A27FF9"/>
    <w:rsid w:val="00A32576"/>
    <w:rsid w:val="00A8016B"/>
    <w:rsid w:val="00A821F2"/>
    <w:rsid w:val="00AA36CD"/>
    <w:rsid w:val="00AB1414"/>
    <w:rsid w:val="00B44133"/>
    <w:rsid w:val="00B50639"/>
    <w:rsid w:val="00BD3AA6"/>
    <w:rsid w:val="00C3028F"/>
    <w:rsid w:val="00C43675"/>
    <w:rsid w:val="00C55CEA"/>
    <w:rsid w:val="00C93D17"/>
    <w:rsid w:val="00CC2389"/>
    <w:rsid w:val="00D05318"/>
    <w:rsid w:val="00D13CFB"/>
    <w:rsid w:val="00D266E1"/>
    <w:rsid w:val="00D57725"/>
    <w:rsid w:val="00D67754"/>
    <w:rsid w:val="00D73A57"/>
    <w:rsid w:val="00D85E7E"/>
    <w:rsid w:val="00E37F4D"/>
    <w:rsid w:val="00E8186A"/>
    <w:rsid w:val="00E863CA"/>
    <w:rsid w:val="00E869F8"/>
    <w:rsid w:val="00EB4142"/>
    <w:rsid w:val="00EB6DBB"/>
    <w:rsid w:val="00EF1576"/>
    <w:rsid w:val="00F00FA5"/>
    <w:rsid w:val="00F02F48"/>
    <w:rsid w:val="00F81D28"/>
    <w:rsid w:val="00FB670E"/>
    <w:rsid w:val="00FD0D3E"/>
    <w:rsid w:val="00FD2F5A"/>
    <w:rsid w:val="00FE2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FF9"/>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6223407">
      <w:bodyDiv w:val="1"/>
      <w:marLeft w:val="0"/>
      <w:marRight w:val="0"/>
      <w:marTop w:val="0"/>
      <w:marBottom w:val="0"/>
      <w:divBdr>
        <w:top w:val="none" w:sz="0" w:space="0" w:color="auto"/>
        <w:left w:val="none" w:sz="0" w:space="0" w:color="auto"/>
        <w:bottom w:val="none" w:sz="0" w:space="0" w:color="auto"/>
        <w:right w:val="none" w:sz="0" w:space="0" w:color="auto"/>
      </w:divBdr>
      <w:divsChild>
        <w:div w:id="521745241">
          <w:marLeft w:val="0"/>
          <w:marRight w:val="0"/>
          <w:marTop w:val="0"/>
          <w:marBottom w:val="0"/>
          <w:divBdr>
            <w:top w:val="none" w:sz="0" w:space="0" w:color="auto"/>
            <w:left w:val="none" w:sz="0" w:space="0" w:color="auto"/>
            <w:bottom w:val="none" w:sz="0" w:space="0" w:color="auto"/>
            <w:right w:val="none" w:sz="0" w:space="0" w:color="auto"/>
          </w:divBdr>
          <w:divsChild>
            <w:div w:id="1421367403">
              <w:marLeft w:val="0"/>
              <w:marRight w:val="0"/>
              <w:marTop w:val="0"/>
              <w:marBottom w:val="0"/>
              <w:divBdr>
                <w:top w:val="none" w:sz="0" w:space="0" w:color="auto"/>
                <w:left w:val="none" w:sz="0" w:space="0" w:color="auto"/>
                <w:bottom w:val="none" w:sz="0" w:space="0" w:color="auto"/>
                <w:right w:val="none" w:sz="0" w:space="0" w:color="auto"/>
              </w:divBdr>
              <w:divsChild>
                <w:div w:id="1072774958">
                  <w:marLeft w:val="0"/>
                  <w:marRight w:val="0"/>
                  <w:marTop w:val="0"/>
                  <w:marBottom w:val="0"/>
                  <w:divBdr>
                    <w:top w:val="none" w:sz="0" w:space="0" w:color="auto"/>
                    <w:left w:val="none" w:sz="0" w:space="0" w:color="auto"/>
                    <w:bottom w:val="none" w:sz="0" w:space="0" w:color="auto"/>
                    <w:right w:val="none" w:sz="0" w:space="0" w:color="auto"/>
                  </w:divBdr>
                  <w:divsChild>
                    <w:div w:id="878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8123">
      <w:bodyDiv w:val="1"/>
      <w:marLeft w:val="0"/>
      <w:marRight w:val="0"/>
      <w:marTop w:val="0"/>
      <w:marBottom w:val="0"/>
      <w:divBdr>
        <w:top w:val="none" w:sz="0" w:space="0" w:color="auto"/>
        <w:left w:val="none" w:sz="0" w:space="0" w:color="auto"/>
        <w:bottom w:val="none" w:sz="0" w:space="0" w:color="auto"/>
        <w:right w:val="none" w:sz="0" w:space="0" w:color="auto"/>
      </w:divBdr>
    </w:div>
    <w:div w:id="272833136">
      <w:bodyDiv w:val="1"/>
      <w:marLeft w:val="0"/>
      <w:marRight w:val="0"/>
      <w:marTop w:val="0"/>
      <w:marBottom w:val="0"/>
      <w:divBdr>
        <w:top w:val="none" w:sz="0" w:space="0" w:color="auto"/>
        <w:left w:val="none" w:sz="0" w:space="0" w:color="auto"/>
        <w:bottom w:val="none" w:sz="0" w:space="0" w:color="auto"/>
        <w:right w:val="none" w:sz="0" w:space="0" w:color="auto"/>
      </w:divBdr>
    </w:div>
    <w:div w:id="731735183">
      <w:bodyDiv w:val="1"/>
      <w:marLeft w:val="0"/>
      <w:marRight w:val="0"/>
      <w:marTop w:val="0"/>
      <w:marBottom w:val="0"/>
      <w:divBdr>
        <w:top w:val="none" w:sz="0" w:space="0" w:color="auto"/>
        <w:left w:val="none" w:sz="0" w:space="0" w:color="auto"/>
        <w:bottom w:val="none" w:sz="0" w:space="0" w:color="auto"/>
        <w:right w:val="none" w:sz="0" w:space="0" w:color="auto"/>
      </w:divBdr>
    </w:div>
    <w:div w:id="1059867428">
      <w:bodyDiv w:val="1"/>
      <w:marLeft w:val="0"/>
      <w:marRight w:val="0"/>
      <w:marTop w:val="0"/>
      <w:marBottom w:val="0"/>
      <w:divBdr>
        <w:top w:val="none" w:sz="0" w:space="0" w:color="auto"/>
        <w:left w:val="none" w:sz="0" w:space="0" w:color="auto"/>
        <w:bottom w:val="none" w:sz="0" w:space="0" w:color="auto"/>
        <w:right w:val="none" w:sz="0" w:space="0" w:color="auto"/>
      </w:divBdr>
    </w:div>
    <w:div w:id="1210722158">
      <w:bodyDiv w:val="1"/>
      <w:marLeft w:val="0"/>
      <w:marRight w:val="0"/>
      <w:marTop w:val="0"/>
      <w:marBottom w:val="0"/>
      <w:divBdr>
        <w:top w:val="none" w:sz="0" w:space="0" w:color="auto"/>
        <w:left w:val="none" w:sz="0" w:space="0" w:color="auto"/>
        <w:bottom w:val="none" w:sz="0" w:space="0" w:color="auto"/>
        <w:right w:val="none" w:sz="0" w:space="0" w:color="auto"/>
      </w:divBdr>
    </w:div>
    <w:div w:id="1511791631">
      <w:bodyDiv w:val="1"/>
      <w:marLeft w:val="0"/>
      <w:marRight w:val="0"/>
      <w:marTop w:val="0"/>
      <w:marBottom w:val="0"/>
      <w:divBdr>
        <w:top w:val="none" w:sz="0" w:space="0" w:color="auto"/>
        <w:left w:val="none" w:sz="0" w:space="0" w:color="auto"/>
        <w:bottom w:val="none" w:sz="0" w:space="0" w:color="auto"/>
        <w:right w:val="none" w:sz="0" w:space="0" w:color="auto"/>
      </w:divBdr>
    </w:div>
    <w:div w:id="1768109566">
      <w:bodyDiv w:val="1"/>
      <w:marLeft w:val="0"/>
      <w:marRight w:val="0"/>
      <w:marTop w:val="0"/>
      <w:marBottom w:val="0"/>
      <w:divBdr>
        <w:top w:val="none" w:sz="0" w:space="0" w:color="auto"/>
        <w:left w:val="none" w:sz="0" w:space="0" w:color="auto"/>
        <w:bottom w:val="none" w:sz="0" w:space="0" w:color="auto"/>
        <w:right w:val="none" w:sz="0" w:space="0" w:color="auto"/>
      </w:divBdr>
    </w:div>
    <w:div w:id="1859075294">
      <w:bodyDiv w:val="1"/>
      <w:marLeft w:val="0"/>
      <w:marRight w:val="0"/>
      <w:marTop w:val="0"/>
      <w:marBottom w:val="0"/>
      <w:divBdr>
        <w:top w:val="none" w:sz="0" w:space="0" w:color="auto"/>
        <w:left w:val="none" w:sz="0" w:space="0" w:color="auto"/>
        <w:bottom w:val="none" w:sz="0" w:space="0" w:color="auto"/>
        <w:right w:val="none" w:sz="0" w:space="0" w:color="auto"/>
      </w:divBdr>
    </w:div>
    <w:div w:id="1871798719">
      <w:bodyDiv w:val="1"/>
      <w:marLeft w:val="0"/>
      <w:marRight w:val="0"/>
      <w:marTop w:val="0"/>
      <w:marBottom w:val="0"/>
      <w:divBdr>
        <w:top w:val="none" w:sz="0" w:space="0" w:color="auto"/>
        <w:left w:val="none" w:sz="0" w:space="0" w:color="auto"/>
        <w:bottom w:val="none" w:sz="0" w:space="0" w:color="auto"/>
        <w:right w:val="none" w:sz="0" w:space="0" w:color="auto"/>
      </w:divBdr>
    </w:div>
    <w:div w:id="1973974328">
      <w:bodyDiv w:val="1"/>
      <w:marLeft w:val="0"/>
      <w:marRight w:val="0"/>
      <w:marTop w:val="0"/>
      <w:marBottom w:val="0"/>
      <w:divBdr>
        <w:top w:val="none" w:sz="0" w:space="0" w:color="auto"/>
        <w:left w:val="none" w:sz="0" w:space="0" w:color="auto"/>
        <w:bottom w:val="none" w:sz="0" w:space="0" w:color="auto"/>
        <w:right w:val="none" w:sz="0" w:space="0" w:color="auto"/>
      </w:divBdr>
      <w:divsChild>
        <w:div w:id="182481477">
          <w:marLeft w:val="0"/>
          <w:marRight w:val="0"/>
          <w:marTop w:val="0"/>
          <w:marBottom w:val="0"/>
          <w:divBdr>
            <w:top w:val="none" w:sz="0" w:space="0" w:color="auto"/>
            <w:left w:val="none" w:sz="0" w:space="0" w:color="auto"/>
            <w:bottom w:val="none" w:sz="0" w:space="0" w:color="auto"/>
            <w:right w:val="none" w:sz="0" w:space="0" w:color="auto"/>
          </w:divBdr>
          <w:divsChild>
            <w:div w:id="160628973">
              <w:marLeft w:val="0"/>
              <w:marRight w:val="0"/>
              <w:marTop w:val="0"/>
              <w:marBottom w:val="0"/>
              <w:divBdr>
                <w:top w:val="none" w:sz="0" w:space="0" w:color="auto"/>
                <w:left w:val="none" w:sz="0" w:space="0" w:color="auto"/>
                <w:bottom w:val="none" w:sz="0" w:space="0" w:color="auto"/>
                <w:right w:val="none" w:sz="0" w:space="0" w:color="auto"/>
              </w:divBdr>
              <w:divsChild>
                <w:div w:id="2076196128">
                  <w:marLeft w:val="0"/>
                  <w:marRight w:val="0"/>
                  <w:marTop w:val="0"/>
                  <w:marBottom w:val="0"/>
                  <w:divBdr>
                    <w:top w:val="none" w:sz="0" w:space="0" w:color="auto"/>
                    <w:left w:val="none" w:sz="0" w:space="0" w:color="auto"/>
                    <w:bottom w:val="none" w:sz="0" w:space="0" w:color="auto"/>
                    <w:right w:val="none" w:sz="0" w:space="0" w:color="auto"/>
                  </w:divBdr>
                  <w:divsChild>
                    <w:div w:id="1621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Danny Fernandez</cp:lastModifiedBy>
  <cp:revision>2</cp:revision>
  <cp:lastPrinted>2014-09-02T20:13:00Z</cp:lastPrinted>
  <dcterms:created xsi:type="dcterms:W3CDTF">2016-01-04T19:59:00Z</dcterms:created>
  <dcterms:modified xsi:type="dcterms:W3CDTF">2016-01-04T19:59:00Z</dcterms:modified>
</cp:coreProperties>
</file>